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197D" w14:textId="15C09778" w:rsidR="00C06557" w:rsidRPr="00C84F38" w:rsidRDefault="00C06557" w:rsidP="00C06557">
      <w:pPr>
        <w:pStyle w:val="Header"/>
        <w:tabs>
          <w:tab w:val="right" w:pos="9639"/>
        </w:tabs>
        <w:rPr>
          <w:bCs/>
          <w:noProof w:val="0"/>
          <w:sz w:val="24"/>
          <w:szCs w:val="24"/>
        </w:rPr>
      </w:pPr>
      <w:r w:rsidRPr="00C84F38">
        <w:rPr>
          <w:bCs/>
          <w:noProof w:val="0"/>
          <w:sz w:val="24"/>
          <w:szCs w:val="24"/>
        </w:rPr>
        <w:t>3GPP TSG RA</w:t>
      </w:r>
      <w:r w:rsidR="003A49BF">
        <w:rPr>
          <w:bCs/>
          <w:noProof w:val="0"/>
          <w:sz w:val="24"/>
          <w:szCs w:val="24"/>
        </w:rPr>
        <w:t>N WG4 Meeting #88</w:t>
      </w:r>
      <w:r>
        <w:rPr>
          <w:bCs/>
          <w:noProof w:val="0"/>
          <w:sz w:val="24"/>
          <w:szCs w:val="24"/>
        </w:rPr>
        <w:t>-bis</w:t>
      </w:r>
      <w:r>
        <w:rPr>
          <w:bCs/>
          <w:noProof w:val="0"/>
          <w:sz w:val="24"/>
          <w:szCs w:val="24"/>
        </w:rPr>
        <w:tab/>
      </w:r>
      <w:r w:rsidR="003475F1" w:rsidRPr="003475F1">
        <w:rPr>
          <w:bCs/>
          <w:noProof w:val="0"/>
          <w:sz w:val="24"/>
          <w:szCs w:val="24"/>
        </w:rPr>
        <w:t>R4-1812</w:t>
      </w:r>
      <w:bookmarkStart w:id="0" w:name="_GoBack"/>
      <w:bookmarkEnd w:id="0"/>
      <w:r w:rsidR="003475F1" w:rsidRPr="003475F1">
        <w:rPr>
          <w:bCs/>
          <w:noProof w:val="0"/>
          <w:sz w:val="24"/>
          <w:szCs w:val="24"/>
        </w:rPr>
        <w:t>056</w:t>
      </w:r>
    </w:p>
    <w:p w14:paraId="5525A3E1" w14:textId="77777777" w:rsidR="00C06557" w:rsidRDefault="00C06557" w:rsidP="00C06557">
      <w:pPr>
        <w:pStyle w:val="Header"/>
        <w:rPr>
          <w:bCs/>
          <w:noProof w:val="0"/>
          <w:sz w:val="24"/>
          <w:szCs w:val="24"/>
        </w:rPr>
      </w:pPr>
      <w:r>
        <w:rPr>
          <w:bCs/>
          <w:noProof w:val="0"/>
          <w:sz w:val="24"/>
          <w:szCs w:val="24"/>
        </w:rPr>
        <w:t>Chengdu, P.R. China, October 8 – 12</w:t>
      </w:r>
      <w:r w:rsidRPr="00850D96">
        <w:rPr>
          <w:bCs/>
          <w:noProof w:val="0"/>
          <w:sz w:val="24"/>
          <w:szCs w:val="24"/>
        </w:rPr>
        <w:t>, 2018</w:t>
      </w:r>
    </w:p>
    <w:p w14:paraId="2CFE1919" w14:textId="77777777" w:rsidR="00850D96" w:rsidRPr="00C06557" w:rsidRDefault="00850D96" w:rsidP="00CA26CE">
      <w:pPr>
        <w:pStyle w:val="Header"/>
        <w:rPr>
          <w:bCs/>
          <w:noProof w:val="0"/>
          <w:sz w:val="24"/>
          <w:lang w:eastAsia="ja-JP"/>
        </w:rPr>
      </w:pPr>
    </w:p>
    <w:p w14:paraId="30E02941" w14:textId="661BE6C2" w:rsidR="0034111C" w:rsidRPr="001E5981" w:rsidRDefault="0034111C" w:rsidP="16512788">
      <w:pPr>
        <w:pStyle w:val="CRCoverPage"/>
        <w:rPr>
          <w:rFonts w:cs="Arial"/>
          <w:b/>
          <w:bCs/>
          <w:sz w:val="24"/>
          <w:szCs w:val="24"/>
          <w:lang w:val="en-US" w:eastAsia="ja-JP"/>
        </w:rPr>
      </w:pPr>
      <w:r w:rsidRPr="00827E9A">
        <w:rPr>
          <w:rFonts w:cs="Arial"/>
          <w:b/>
          <w:bCs/>
          <w:sz w:val="24"/>
          <w:szCs w:val="24"/>
        </w:rPr>
        <w:t>Agenda item:</w:t>
      </w:r>
      <w:r w:rsidRPr="00827E9A">
        <w:rPr>
          <w:rFonts w:cs="Arial"/>
          <w:b/>
          <w:bCs/>
          <w:sz w:val="24"/>
        </w:rPr>
        <w:tab/>
      </w:r>
      <w:r w:rsidRPr="00827E9A">
        <w:rPr>
          <w:rFonts w:cs="Arial"/>
          <w:b/>
          <w:bCs/>
          <w:sz w:val="24"/>
        </w:rPr>
        <w:tab/>
      </w:r>
      <w:r w:rsidR="005110CC" w:rsidRPr="005110CC">
        <w:rPr>
          <w:rFonts w:cs="Arial"/>
          <w:b/>
          <w:bCs/>
          <w:sz w:val="24"/>
          <w:szCs w:val="24"/>
        </w:rPr>
        <w:t>7.6.4.3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998568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A49BF">
        <w:rPr>
          <w:rFonts w:ascii="Arial" w:hAnsi="Arial" w:cs="Arial"/>
          <w:b/>
          <w:bCs/>
          <w:sz w:val="24"/>
        </w:rPr>
        <w:t xml:space="preserve">On </w:t>
      </w:r>
      <w:r w:rsidR="00D52A4E">
        <w:rPr>
          <w:rFonts w:ascii="Arial" w:hAnsi="Arial" w:cs="Arial"/>
          <w:b/>
          <w:bCs/>
          <w:sz w:val="24"/>
        </w:rPr>
        <w:t xml:space="preserve">UE Tx </w:t>
      </w:r>
      <w:r w:rsidR="003A49BF">
        <w:rPr>
          <w:rFonts w:ascii="Arial" w:hAnsi="Arial" w:cs="Arial"/>
          <w:b/>
          <w:bCs/>
          <w:sz w:val="24"/>
        </w:rPr>
        <w:t>phase disconti</w:t>
      </w:r>
      <w:r w:rsidR="00D52A4E">
        <w:rPr>
          <w:rFonts w:ascii="Arial" w:hAnsi="Arial" w:cs="Arial"/>
          <w:b/>
          <w:bCs/>
          <w:sz w:val="24"/>
        </w:rPr>
        <w:t>nuity in intra-band EN-DC</w:t>
      </w:r>
    </w:p>
    <w:p w14:paraId="30E02944" w14:textId="45422722"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651C0">
        <w:rPr>
          <w:rFonts w:ascii="Arial" w:hAnsi="Arial" w:cs="Arial"/>
          <w:b/>
          <w:bCs/>
          <w:sz w:val="24"/>
          <w:szCs w:val="24"/>
        </w:rPr>
        <w:t>Discussion</w:t>
      </w:r>
    </w:p>
    <w:p w14:paraId="7CF7938E" w14:textId="32BDB5DA" w:rsidR="00ED1327" w:rsidRPr="00ED1327" w:rsidRDefault="0034111C" w:rsidP="00ED1327">
      <w:pPr>
        <w:pStyle w:val="Heading1"/>
      </w:pPr>
      <w:r w:rsidRPr="0016316A">
        <w:t>1</w:t>
      </w:r>
      <w:r w:rsidRPr="0016316A">
        <w:tab/>
      </w:r>
      <w:r w:rsidR="00EE7FA7" w:rsidRPr="0016316A">
        <w:t>Introduction</w:t>
      </w:r>
    </w:p>
    <w:p w14:paraId="5D3B51E9" w14:textId="554CC5D2" w:rsidR="00995588" w:rsidRDefault="0077081B" w:rsidP="00ED1327">
      <w:bookmarkStart w:id="1" w:name="_Hlk510705081"/>
      <w:r>
        <w:t xml:space="preserve">RAN1#94 in Gothenburg discussed the issue of phase discontinuity for intra-band EN-DC, intra-band CA and FDM-based UL sharing from UE perspective for UE architectures where a single PA is shared with the two uplinks and </w:t>
      </w:r>
      <w:r w:rsidR="00C01E1B">
        <w:t>shared the agreements in an LS to RAN2 and RAN4 [1</w:t>
      </w:r>
      <w:r>
        <w:t xml:space="preserve">]. </w:t>
      </w:r>
    </w:p>
    <w:p w14:paraId="7D4DECB7" w14:textId="77777777" w:rsidR="00D52A4E" w:rsidRDefault="00D52A4E" w:rsidP="00ED1327"/>
    <w:tbl>
      <w:tblPr>
        <w:tblStyle w:val="TableGrid"/>
        <w:tblW w:w="0" w:type="auto"/>
        <w:tblLook w:val="04A0" w:firstRow="1" w:lastRow="0" w:firstColumn="1" w:lastColumn="0" w:noHBand="0" w:noVBand="1"/>
      </w:tblPr>
      <w:tblGrid>
        <w:gridCol w:w="9629"/>
      </w:tblGrid>
      <w:tr w:rsidR="00C01E1B" w14:paraId="54C945D8" w14:textId="77777777" w:rsidTr="00C01E1B">
        <w:tc>
          <w:tcPr>
            <w:tcW w:w="9629" w:type="dxa"/>
          </w:tcPr>
          <w:p w14:paraId="0C97726B" w14:textId="77777777" w:rsidR="00C01E1B" w:rsidRPr="00C01E1B" w:rsidRDefault="00C01E1B" w:rsidP="00C01E1B">
            <w:pPr>
              <w:pStyle w:val="Header"/>
              <w:tabs>
                <w:tab w:val="left" w:pos="720"/>
              </w:tabs>
              <w:snapToGrid w:val="0"/>
              <w:spacing w:line="240" w:lineRule="exact"/>
              <w:rPr>
                <w:rFonts w:cs="Arial"/>
                <w:b w:val="0"/>
                <w:bCs/>
                <w:lang w:val="en-GB"/>
              </w:rPr>
            </w:pPr>
            <w:r w:rsidRPr="00C01E1B">
              <w:rPr>
                <w:rFonts w:cs="Arial"/>
                <w:b w:val="0"/>
              </w:rPr>
              <w:t>RAN WG1 discussed the phase discontinuity issue for a single PA structure and other issues for NR-LTE coexistence and</w:t>
            </w:r>
            <w:r w:rsidRPr="00C01E1B">
              <w:rPr>
                <w:rFonts w:cs="Arial"/>
                <w:b w:val="0"/>
                <w:bCs/>
              </w:rPr>
              <w:t xml:space="preserve"> made the following agreements: </w:t>
            </w:r>
          </w:p>
          <w:p w14:paraId="290D33D6" w14:textId="77777777" w:rsidR="00C01E1B" w:rsidRDefault="00C01E1B" w:rsidP="00C01E1B">
            <w:pPr>
              <w:pStyle w:val="Header"/>
              <w:tabs>
                <w:tab w:val="left" w:pos="720"/>
              </w:tabs>
              <w:rPr>
                <w:rFonts w:cs="Arial"/>
              </w:rPr>
            </w:pPr>
          </w:p>
          <w:p w14:paraId="7A8A5EB9" w14:textId="77777777" w:rsidR="00C01E1B" w:rsidRDefault="00C01E1B" w:rsidP="00C01E1B">
            <w:pPr>
              <w:rPr>
                <w:rFonts w:ascii="Arial" w:hAnsi="Arial" w:cs="Arial"/>
                <w:lang w:eastAsia="x-none"/>
              </w:rPr>
            </w:pPr>
            <w:r>
              <w:rPr>
                <w:rFonts w:ascii="Arial" w:hAnsi="Arial" w:cs="Arial"/>
                <w:highlight w:val="green"/>
                <w:lang w:eastAsia="x-none"/>
              </w:rPr>
              <w:t>Agreement:</w:t>
            </w:r>
          </w:p>
          <w:p w14:paraId="2960D213" w14:textId="77777777" w:rsidR="00C01E1B" w:rsidRDefault="00C01E1B" w:rsidP="00C01E1B">
            <w:pPr>
              <w:rPr>
                <w:rFonts w:ascii="Arial" w:hAnsi="Arial" w:cs="Arial"/>
                <w:lang w:eastAsia="x-none"/>
              </w:rPr>
            </w:pPr>
            <w:r>
              <w:rPr>
                <w:rFonts w:ascii="Arial" w:hAnsi="Arial" w:cs="Arial"/>
                <w:lang w:eastAsia="x-none"/>
              </w:rPr>
              <w:t>UE capability signalling that indicates per band per band combination whether the UE can handle (motivated by impacts of PA phase discontinuity) cases with overlapping transmissions with non-aligned starting or ending times or hop boundaries across carriers is beneficial and is introduced.</w:t>
            </w:r>
          </w:p>
          <w:p w14:paraId="0267E7EA" w14:textId="77777777" w:rsidR="00C01E1B" w:rsidRDefault="00C01E1B" w:rsidP="00C01E1B">
            <w:pPr>
              <w:numPr>
                <w:ilvl w:val="0"/>
                <w:numId w:val="16"/>
              </w:numPr>
              <w:overflowPunct/>
              <w:autoSpaceDE/>
              <w:autoSpaceDN/>
              <w:adjustRightInd/>
              <w:spacing w:after="0"/>
              <w:textAlignment w:val="auto"/>
              <w:rPr>
                <w:rFonts w:ascii="Arial" w:hAnsi="Arial" w:cs="Arial"/>
                <w:lang w:eastAsia="x-none"/>
              </w:rPr>
            </w:pPr>
            <w:r>
              <w:rPr>
                <w:rFonts w:ascii="Arial" w:hAnsi="Arial" w:cs="Arial"/>
                <w:lang w:eastAsia="x-none"/>
              </w:rPr>
              <w:t>Only applicable to intra-band EN-DC, intra-band CA, FDM-based ULSUP (UL Sharing from UE Perspective)</w:t>
            </w:r>
          </w:p>
          <w:p w14:paraId="6738BAA5" w14:textId="77777777" w:rsidR="00C01E1B" w:rsidRDefault="00C01E1B" w:rsidP="00C01E1B">
            <w:pPr>
              <w:numPr>
                <w:ilvl w:val="1"/>
                <w:numId w:val="16"/>
              </w:numPr>
              <w:overflowPunct/>
              <w:autoSpaceDE/>
              <w:autoSpaceDN/>
              <w:adjustRightInd/>
              <w:spacing w:after="0"/>
              <w:textAlignment w:val="auto"/>
              <w:rPr>
                <w:rFonts w:ascii="Arial" w:hAnsi="Arial" w:cs="Arial"/>
                <w:lang w:eastAsia="x-none"/>
              </w:rPr>
            </w:pPr>
            <w:r>
              <w:rPr>
                <w:rFonts w:ascii="Arial" w:hAnsi="Arial" w:cs="Arial"/>
                <w:lang w:eastAsia="x-none"/>
              </w:rPr>
              <w:t>Note: Normal UE behaviour is assumed when the UE does not indicate the lack of this capability through the capability signalling or when the capability is not applicable</w:t>
            </w:r>
          </w:p>
          <w:p w14:paraId="065D4675" w14:textId="77777777" w:rsidR="00C01E1B" w:rsidRDefault="00C01E1B" w:rsidP="00C01E1B">
            <w:pPr>
              <w:numPr>
                <w:ilvl w:val="0"/>
                <w:numId w:val="16"/>
              </w:numPr>
              <w:overflowPunct/>
              <w:autoSpaceDE/>
              <w:autoSpaceDN/>
              <w:adjustRightInd/>
              <w:spacing w:after="0"/>
              <w:textAlignment w:val="auto"/>
              <w:rPr>
                <w:rFonts w:ascii="Arial" w:hAnsi="Arial" w:cs="Arial"/>
                <w:lang w:eastAsia="x-none"/>
              </w:rPr>
            </w:pPr>
            <w:r>
              <w:rPr>
                <w:rFonts w:ascii="Arial" w:hAnsi="Arial" w:cs="Arial"/>
                <w:lang w:eastAsia="x-none"/>
              </w:rPr>
              <w:t>RAN4 to determine whether a UE that cannot handle such cases needs different performance requirements or whether these cases are treated as error cases.</w:t>
            </w:r>
          </w:p>
          <w:p w14:paraId="436499F2" w14:textId="77777777" w:rsidR="00C01E1B" w:rsidRDefault="00C01E1B" w:rsidP="00C01E1B">
            <w:pPr>
              <w:numPr>
                <w:ilvl w:val="0"/>
                <w:numId w:val="16"/>
              </w:numPr>
              <w:overflowPunct/>
              <w:autoSpaceDE/>
              <w:autoSpaceDN/>
              <w:adjustRightInd/>
              <w:spacing w:after="0"/>
              <w:textAlignment w:val="auto"/>
              <w:rPr>
                <w:rFonts w:ascii="Arial" w:hAnsi="Arial" w:cs="Arial"/>
                <w:lang w:eastAsia="x-none"/>
              </w:rPr>
            </w:pPr>
            <w:r>
              <w:rPr>
                <w:rFonts w:ascii="Arial" w:hAnsi="Arial" w:cs="Arial"/>
                <w:lang w:eastAsia="x-none"/>
              </w:rPr>
              <w:t>For intra-band EN-DC and FDM-based ULSUP, whether the capability is applicable also when NR is operated with different numerology than LTE should be determined in RAN4</w:t>
            </w:r>
          </w:p>
          <w:p w14:paraId="0572AF89" w14:textId="77777777" w:rsidR="00C01E1B" w:rsidRDefault="00C01E1B" w:rsidP="00C01E1B">
            <w:pPr>
              <w:numPr>
                <w:ilvl w:val="0"/>
                <w:numId w:val="16"/>
              </w:numPr>
              <w:overflowPunct/>
              <w:autoSpaceDE/>
              <w:autoSpaceDN/>
              <w:adjustRightInd/>
              <w:spacing w:after="0"/>
              <w:textAlignment w:val="auto"/>
              <w:rPr>
                <w:rFonts w:ascii="Arial" w:hAnsi="Arial" w:cs="Arial"/>
                <w:lang w:eastAsia="x-none"/>
              </w:rPr>
            </w:pPr>
            <w:r>
              <w:rPr>
                <w:rFonts w:ascii="Arial" w:hAnsi="Arial" w:cs="Arial"/>
                <w:lang w:eastAsia="x-none"/>
              </w:rPr>
              <w:t xml:space="preserve">RAN4 to determine in which bands, in which band-combinations (including in which bands in the band-combination) the capability is applicable </w:t>
            </w:r>
          </w:p>
          <w:p w14:paraId="1BC4CD59" w14:textId="77777777" w:rsidR="00C01E1B" w:rsidRDefault="00C01E1B" w:rsidP="00C01E1B">
            <w:pPr>
              <w:numPr>
                <w:ilvl w:val="1"/>
                <w:numId w:val="16"/>
              </w:numPr>
              <w:overflowPunct/>
              <w:autoSpaceDE/>
              <w:autoSpaceDN/>
              <w:adjustRightInd/>
              <w:spacing w:after="0"/>
              <w:textAlignment w:val="auto"/>
              <w:rPr>
                <w:rFonts w:ascii="Arial" w:hAnsi="Arial" w:cs="Arial"/>
                <w:lang w:eastAsia="x-none"/>
              </w:rPr>
            </w:pPr>
            <w:r>
              <w:rPr>
                <w:rFonts w:ascii="Arial" w:hAnsi="Arial" w:cs="Arial"/>
                <w:lang w:eastAsia="x-none"/>
              </w:rPr>
              <w:t>Note: This is not intended to change other UE capabilities and minimum performance requirements related to the number of antennas and PAs as per the RAN4 requirements.</w:t>
            </w:r>
          </w:p>
          <w:p w14:paraId="68069A1C" w14:textId="77777777" w:rsidR="00C01E1B" w:rsidRDefault="00C01E1B" w:rsidP="00C01E1B">
            <w:pPr>
              <w:pStyle w:val="Header"/>
              <w:tabs>
                <w:tab w:val="left" w:pos="720"/>
              </w:tabs>
              <w:rPr>
                <w:rFonts w:cs="Arial"/>
              </w:rPr>
            </w:pPr>
          </w:p>
          <w:p w14:paraId="605308A6" w14:textId="77777777" w:rsidR="00C01E1B" w:rsidRDefault="00C01E1B" w:rsidP="00C01E1B">
            <w:pPr>
              <w:rPr>
                <w:rFonts w:ascii="Arial" w:hAnsi="Arial" w:cs="Arial"/>
                <w:lang w:eastAsia="x-none"/>
              </w:rPr>
            </w:pPr>
            <w:r>
              <w:rPr>
                <w:rFonts w:ascii="Arial" w:hAnsi="Arial" w:cs="Arial"/>
                <w:highlight w:val="green"/>
                <w:lang w:eastAsia="x-none"/>
              </w:rPr>
              <w:t>Agreement:</w:t>
            </w:r>
          </w:p>
          <w:p w14:paraId="28E78440" w14:textId="630C0686" w:rsidR="00C01E1B" w:rsidRPr="00C01E1B" w:rsidRDefault="00C01E1B" w:rsidP="00ED1327">
            <w:pPr>
              <w:rPr>
                <w:rFonts w:ascii="Arial" w:hAnsi="Arial" w:cs="Arial"/>
                <w:lang w:eastAsia="x-none"/>
              </w:rPr>
            </w:pPr>
            <w:r>
              <w:rPr>
                <w:rFonts w:ascii="Arial" w:hAnsi="Arial" w:cs="Arial"/>
                <w:lang w:eastAsia="x-none"/>
              </w:rPr>
              <w:t>A UE is not expected to be configured with sTTI and/or shortened processing time operation on a carrier that is part of an EN-DC configuration in Rel-15.</w:t>
            </w:r>
          </w:p>
        </w:tc>
      </w:tr>
    </w:tbl>
    <w:p w14:paraId="4B46ED2B" w14:textId="5F633A7D" w:rsidR="0077081B" w:rsidRDefault="0077081B" w:rsidP="00ED1327">
      <w:pPr>
        <w:rPr>
          <w:lang w:val="en-US"/>
        </w:rPr>
      </w:pPr>
    </w:p>
    <w:p w14:paraId="7CC7B841" w14:textId="15BA1FC1" w:rsidR="00C01E1B" w:rsidRDefault="00D52A4E" w:rsidP="00ED1327">
      <w:pPr>
        <w:rPr>
          <w:lang w:val="en-US"/>
        </w:rPr>
      </w:pPr>
      <w:r>
        <w:rPr>
          <w:lang w:val="en-US"/>
        </w:rPr>
        <w:t>This document outlines</w:t>
      </w:r>
      <w:r w:rsidR="00C01E1B">
        <w:rPr>
          <w:lang w:val="en-US"/>
        </w:rPr>
        <w:t xml:space="preserve"> a solution </w:t>
      </w:r>
      <w:r>
        <w:rPr>
          <w:lang w:val="en-US"/>
        </w:rPr>
        <w:t>on how to take the RAN1 agreement into account in RAN4 specifications</w:t>
      </w:r>
      <w:r w:rsidR="00C01E1B">
        <w:rPr>
          <w:lang w:val="en-US"/>
        </w:rPr>
        <w:t>.</w:t>
      </w:r>
    </w:p>
    <w:p w14:paraId="2060E48A" w14:textId="402C492A" w:rsidR="00D52A4E" w:rsidRDefault="00D52A4E">
      <w:pPr>
        <w:overflowPunct/>
        <w:autoSpaceDE/>
        <w:autoSpaceDN/>
        <w:adjustRightInd/>
        <w:spacing w:after="0"/>
        <w:textAlignment w:val="auto"/>
        <w:rPr>
          <w:lang w:val="en-US"/>
        </w:rPr>
      </w:pPr>
      <w:r>
        <w:rPr>
          <w:lang w:val="en-US"/>
        </w:rPr>
        <w:br w:type="page"/>
      </w:r>
    </w:p>
    <w:p w14:paraId="7DFFB196" w14:textId="77777777" w:rsidR="00D52A4E" w:rsidRPr="000274D5" w:rsidRDefault="00D52A4E" w:rsidP="00ED1327">
      <w:pPr>
        <w:rPr>
          <w:lang w:val="en-US"/>
        </w:rPr>
      </w:pPr>
    </w:p>
    <w:p w14:paraId="71230483" w14:textId="19919CD3" w:rsidR="00305297" w:rsidRPr="00ED1327" w:rsidRDefault="00305297" w:rsidP="00305297">
      <w:pPr>
        <w:pStyle w:val="Heading1"/>
      </w:pPr>
      <w:r>
        <w:t>2</w:t>
      </w:r>
      <w:r w:rsidRPr="0016316A">
        <w:tab/>
      </w:r>
      <w:r w:rsidR="00C01E1B">
        <w:t>Discussion</w:t>
      </w:r>
    </w:p>
    <w:p w14:paraId="373B184D" w14:textId="7A14E157" w:rsidR="00F726D9" w:rsidRDefault="00F726D9" w:rsidP="00F726D9">
      <w:bookmarkStart w:id="2" w:name="_Hlk513467709"/>
      <w:bookmarkEnd w:id="1"/>
      <w:r>
        <w:t>UEs using a shared PA architecture to transmit both the LTE and the NR uplinks would suffer from phase discontinuity to one uplink, when there is a power step in the other uplink. If the uplinks are sub-frame aligned within CP duration, there is no impact from LTE to NR, as the LTE Tx power will remain constant across the full LTE sub-frame. However, there may be power steps in NR within the sub-frame, e.g. due to short PUSCH allocations</w:t>
      </w:r>
      <w:r w:rsidR="00B66229">
        <w:t>, or NR operating with 30 kHz SCS and thus having two slots within one sub-frame</w:t>
      </w:r>
      <w:r>
        <w:t>.</w:t>
      </w:r>
    </w:p>
    <w:p w14:paraId="29C48EF5" w14:textId="634ED810" w:rsidR="001E36F4" w:rsidRDefault="001E36F4" w:rsidP="001E36F4"/>
    <w:p w14:paraId="62C3D000" w14:textId="478AFA56" w:rsidR="00C01E1B" w:rsidRDefault="00935F8F" w:rsidP="00C01E1B">
      <w:pPr>
        <w:jc w:val="center"/>
      </w:pPr>
      <w:r>
        <w:rPr>
          <w:noProof/>
        </w:rPr>
        <w:drawing>
          <wp:inline distT="0" distB="0" distL="0" distR="0" wp14:anchorId="1CC6D9CB" wp14:editId="5BE050DC">
            <wp:extent cx="1884045" cy="18592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4045" cy="1859280"/>
                    </a:xfrm>
                    <a:prstGeom prst="rect">
                      <a:avLst/>
                    </a:prstGeom>
                    <a:noFill/>
                  </pic:spPr>
                </pic:pic>
              </a:graphicData>
            </a:graphic>
          </wp:inline>
        </w:drawing>
      </w:r>
    </w:p>
    <w:p w14:paraId="2DF8CD6C" w14:textId="3D3136C4" w:rsidR="00C01E1B" w:rsidRDefault="00C01E1B" w:rsidP="00C01E1B">
      <w:pPr>
        <w:jc w:val="center"/>
        <w:rPr>
          <w:rFonts w:ascii="Arial" w:hAnsi="Arial" w:cs="Arial"/>
          <w:b/>
          <w:lang w:val="en-US" w:eastAsia="zh-CN"/>
        </w:rPr>
      </w:pPr>
      <w:r w:rsidRPr="00766303">
        <w:rPr>
          <w:rFonts w:ascii="Arial" w:hAnsi="Arial" w:cs="Arial"/>
          <w:b/>
          <w:lang w:val="en-US" w:eastAsia="zh-CN"/>
        </w:rPr>
        <w:t>Figure 1:</w:t>
      </w:r>
      <w:r>
        <w:rPr>
          <w:rFonts w:ascii="Arial" w:hAnsi="Arial" w:cs="Arial"/>
          <w:b/>
          <w:lang w:val="en-US" w:eastAsia="zh-CN"/>
        </w:rPr>
        <w:t xml:space="preserve"> </w:t>
      </w:r>
      <w:r w:rsidR="00935F8F">
        <w:rPr>
          <w:rFonts w:ascii="Arial" w:hAnsi="Arial" w:cs="Arial"/>
          <w:b/>
          <w:lang w:val="en-US" w:eastAsia="zh-CN"/>
        </w:rPr>
        <w:t>NR power step in th</w:t>
      </w:r>
      <w:r w:rsidR="004D0FAF">
        <w:rPr>
          <w:rFonts w:ascii="Arial" w:hAnsi="Arial" w:cs="Arial"/>
          <w:b/>
          <w:lang w:val="en-US" w:eastAsia="zh-CN"/>
        </w:rPr>
        <w:t>e middle of the LTE sub-frame</w:t>
      </w:r>
      <w:r w:rsidR="00935F8F">
        <w:rPr>
          <w:rFonts w:ascii="Arial" w:hAnsi="Arial" w:cs="Arial"/>
          <w:b/>
          <w:lang w:val="en-US" w:eastAsia="zh-CN"/>
        </w:rPr>
        <w:t xml:space="preserve"> </w:t>
      </w:r>
    </w:p>
    <w:p w14:paraId="694E07CD" w14:textId="77777777" w:rsidR="00F726D9" w:rsidRDefault="00F726D9" w:rsidP="00F726D9"/>
    <w:p w14:paraId="718E4253" w14:textId="5809DA55" w:rsidR="00F726D9" w:rsidRDefault="00F726D9" w:rsidP="00F726D9">
      <w:r>
        <w:t>RAN1 agreed that a single PA architectures for intra-band EN-DC are allowed by the specification, and requested RAN2 to introduce capability signalling for the UE to indicate that it uses a single PA, an thus may suffer from phase discontinuity from power st</w:t>
      </w:r>
      <w:r w:rsidR="00D03468">
        <w:t>eps.</w:t>
      </w:r>
    </w:p>
    <w:p w14:paraId="42420D90" w14:textId="31C47C82" w:rsidR="00F726D9" w:rsidRDefault="00F726D9" w:rsidP="00F726D9">
      <w:r>
        <w:t>For RAN4, t</w:t>
      </w:r>
      <w:r w:rsidR="00D03468">
        <w:t>here are two aspects to consider</w:t>
      </w:r>
    </w:p>
    <w:p w14:paraId="1629A2AF" w14:textId="27581E5B" w:rsidR="00F726D9" w:rsidRDefault="00D03468" w:rsidP="008F6B7D">
      <w:pPr>
        <w:pStyle w:val="ListParagraph"/>
        <w:numPr>
          <w:ilvl w:val="0"/>
          <w:numId w:val="19"/>
        </w:numPr>
        <w:rPr>
          <w:sz w:val="20"/>
          <w:szCs w:val="20"/>
          <w:lang w:val="en-US"/>
        </w:rPr>
      </w:pPr>
      <w:r>
        <w:rPr>
          <w:sz w:val="20"/>
          <w:szCs w:val="20"/>
          <w:lang w:val="en-US"/>
        </w:rPr>
        <w:t>If there is a transmit power step on NR uplink, the transmit signal quality requirements for the LTE uplink may not be met</w:t>
      </w:r>
    </w:p>
    <w:p w14:paraId="576ADB9C" w14:textId="5FA341A4" w:rsidR="00D03468" w:rsidRDefault="00D03468" w:rsidP="008F6B7D">
      <w:pPr>
        <w:pStyle w:val="ListParagraph"/>
        <w:numPr>
          <w:ilvl w:val="0"/>
          <w:numId w:val="19"/>
        </w:numPr>
        <w:rPr>
          <w:sz w:val="20"/>
          <w:szCs w:val="20"/>
          <w:lang w:val="en-US"/>
        </w:rPr>
      </w:pPr>
      <w:r>
        <w:rPr>
          <w:sz w:val="20"/>
          <w:szCs w:val="20"/>
          <w:lang w:val="en-US"/>
        </w:rPr>
        <w:t xml:space="preserve">Maintain the NR Tx power constant across the full sub-frame if there is an ongoing </w:t>
      </w:r>
      <w:r w:rsidR="00C457B8">
        <w:rPr>
          <w:sz w:val="20"/>
          <w:szCs w:val="20"/>
          <w:lang w:val="en-US"/>
        </w:rPr>
        <w:t>parallel transmission on LTE to avoid phase discontinuity, leading to relaxation on the NR Tx power requirements</w:t>
      </w:r>
    </w:p>
    <w:p w14:paraId="151A0D1E" w14:textId="60570241" w:rsidR="00C457B8" w:rsidRDefault="00C457B8" w:rsidP="00C457B8">
      <w:pPr>
        <w:rPr>
          <w:lang w:val="en-US"/>
        </w:rPr>
      </w:pPr>
    </w:p>
    <w:p w14:paraId="04FE5E7E" w14:textId="315EA600" w:rsidR="00C457B8" w:rsidRDefault="00C457B8" w:rsidP="00A361A2">
      <w:pPr>
        <w:rPr>
          <w:lang w:val="en-US"/>
        </w:rPr>
      </w:pPr>
      <w:r>
        <w:rPr>
          <w:lang w:val="en-US"/>
        </w:rPr>
        <w:t xml:space="preserve">For </w:t>
      </w:r>
      <w:r w:rsidR="008F6B7D">
        <w:rPr>
          <w:lang w:val="en-US"/>
        </w:rPr>
        <w:t xml:space="preserve">point </w:t>
      </w:r>
      <w:r>
        <w:rPr>
          <w:lang w:val="en-US"/>
        </w:rPr>
        <w:t>1</w:t>
      </w:r>
      <w:r w:rsidR="008F6B7D">
        <w:rPr>
          <w:lang w:val="en-US"/>
        </w:rPr>
        <w:t>)</w:t>
      </w:r>
      <w:r>
        <w:rPr>
          <w:lang w:val="en-US"/>
        </w:rPr>
        <w:t xml:space="preserve"> it may suffice to state </w:t>
      </w:r>
      <w:r w:rsidR="00B66229">
        <w:rPr>
          <w:lang w:val="en-US"/>
        </w:rPr>
        <w:t xml:space="preserve">in 36.101 </w:t>
      </w:r>
      <w:r>
        <w:rPr>
          <w:lang w:val="en-US"/>
        </w:rPr>
        <w:t>that</w:t>
      </w:r>
      <w:r w:rsidR="00A361A2">
        <w:rPr>
          <w:lang w:val="en-US"/>
        </w:rPr>
        <w:t xml:space="preserve"> i</w:t>
      </w:r>
      <w:r w:rsidR="00836049">
        <w:rPr>
          <w:lang w:val="en-US"/>
        </w:rPr>
        <w:t xml:space="preserve">n intra-band EN-DC, for a single PA UEs, if there </w:t>
      </w:r>
      <w:r>
        <w:rPr>
          <w:lang w:val="en-US"/>
        </w:rPr>
        <w:t>is a</w:t>
      </w:r>
      <w:r w:rsidR="00836049">
        <w:rPr>
          <w:lang w:val="en-US"/>
        </w:rPr>
        <w:t>n NR</w:t>
      </w:r>
      <w:r>
        <w:rPr>
          <w:lang w:val="en-US"/>
        </w:rPr>
        <w:t xml:space="preserve"> transmit power change </w:t>
      </w:r>
      <w:r w:rsidR="00836049">
        <w:rPr>
          <w:lang w:val="en-US"/>
        </w:rPr>
        <w:t>within the LTE sub-frame, then the EVM requirements do not apply to that sub-frame</w:t>
      </w:r>
      <w:r w:rsidR="008F6B7D">
        <w:rPr>
          <w:lang w:val="en-US"/>
        </w:rPr>
        <w:t>.</w:t>
      </w:r>
    </w:p>
    <w:p w14:paraId="438FDC74" w14:textId="2648DDE5" w:rsidR="008F6B7D" w:rsidRDefault="008F6B7D" w:rsidP="00A361A2">
      <w:pPr>
        <w:rPr>
          <w:lang w:val="en-US"/>
        </w:rPr>
      </w:pPr>
      <w:r>
        <w:rPr>
          <w:lang w:val="en-US"/>
        </w:rPr>
        <w:t xml:space="preserve">For point 2) there could be an NR transmit power control accuracy relaxation </w:t>
      </w:r>
      <w:r w:rsidR="00B66229">
        <w:rPr>
          <w:lang w:val="en-US"/>
        </w:rPr>
        <w:t xml:space="preserve">to 38.101 </w:t>
      </w:r>
      <w:r>
        <w:rPr>
          <w:lang w:val="en-US"/>
        </w:rPr>
        <w:t>that allows for the UE to maintain constant tra</w:t>
      </w:r>
      <w:r w:rsidR="00B66229">
        <w:rPr>
          <w:lang w:val="en-US"/>
        </w:rPr>
        <w:t>nsmit power across an NR sub-frame</w:t>
      </w:r>
      <w:r>
        <w:rPr>
          <w:lang w:val="en-US"/>
        </w:rPr>
        <w:t xml:space="preserve">, or scale the NR transmit power to -∞ </w:t>
      </w:r>
      <w:r w:rsidR="00B66229">
        <w:rPr>
          <w:lang w:val="en-US"/>
        </w:rPr>
        <w:t xml:space="preserve">over the full NR sub-frame </w:t>
      </w:r>
      <w:r>
        <w:rPr>
          <w:lang w:val="en-US"/>
        </w:rPr>
        <w:t>if NR power step leads to phase discontinuity to a transmitted LTE sub-frame.</w:t>
      </w:r>
      <w:r w:rsidR="00DB1DCE">
        <w:rPr>
          <w:lang w:val="en-US"/>
        </w:rPr>
        <w:t xml:space="preserve"> Two cases are illustrated below.</w:t>
      </w:r>
    </w:p>
    <w:p w14:paraId="547567E4" w14:textId="77777777" w:rsidR="00DB1DCE" w:rsidRDefault="00DB1DCE" w:rsidP="00A361A2">
      <w:pPr>
        <w:rPr>
          <w:lang w:val="en-US"/>
        </w:rPr>
      </w:pPr>
    </w:p>
    <w:tbl>
      <w:tblPr>
        <w:tblStyle w:val="TableGrid"/>
        <w:tblW w:w="0" w:type="auto"/>
        <w:tblLook w:val="04A0" w:firstRow="1" w:lastRow="0" w:firstColumn="1" w:lastColumn="0" w:noHBand="0" w:noVBand="1"/>
      </w:tblPr>
      <w:tblGrid>
        <w:gridCol w:w="4529"/>
        <w:gridCol w:w="430"/>
        <w:gridCol w:w="4670"/>
      </w:tblGrid>
      <w:tr w:rsidR="00D52A4E" w14:paraId="7197C63E" w14:textId="77777777" w:rsidTr="002A7953">
        <w:tc>
          <w:tcPr>
            <w:tcW w:w="4529" w:type="dxa"/>
            <w:tcBorders>
              <w:bottom w:val="single" w:sz="4" w:space="0" w:color="auto"/>
              <w:right w:val="nil"/>
            </w:tcBorders>
            <w:vAlign w:val="center"/>
          </w:tcPr>
          <w:p w14:paraId="6C7FC372" w14:textId="77777777" w:rsidR="00D52A4E" w:rsidRDefault="00DB1DCE" w:rsidP="00DB1DCE">
            <w:pPr>
              <w:spacing w:after="0"/>
              <w:jc w:val="center"/>
              <w:rPr>
                <w:lang w:val="en-US"/>
              </w:rPr>
            </w:pPr>
            <w:r>
              <w:rPr>
                <w:noProof/>
                <w:lang w:val="en-US"/>
              </w:rPr>
              <w:lastRenderedPageBreak/>
              <w:drawing>
                <wp:inline distT="0" distB="0" distL="0" distR="0" wp14:anchorId="63C5DD29" wp14:editId="5821657A">
                  <wp:extent cx="1884045" cy="185928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4045" cy="1859280"/>
                          </a:xfrm>
                          <a:prstGeom prst="rect">
                            <a:avLst/>
                          </a:prstGeom>
                          <a:noFill/>
                        </pic:spPr>
                      </pic:pic>
                    </a:graphicData>
                  </a:graphic>
                </wp:inline>
              </w:drawing>
            </w:r>
          </w:p>
          <w:p w14:paraId="23568DC0" w14:textId="7D31A701" w:rsidR="00DB1DCE" w:rsidRPr="00DB1DCE" w:rsidRDefault="00DB1DCE" w:rsidP="00DB1DCE">
            <w:pPr>
              <w:spacing w:after="0"/>
              <w:jc w:val="center"/>
              <w:rPr>
                <w:b/>
                <w:lang w:val="en-US"/>
              </w:rPr>
            </w:pPr>
            <w:r>
              <w:rPr>
                <w:b/>
                <w:lang w:val="en-US"/>
              </w:rPr>
              <w:t>Nominal allocation</w:t>
            </w:r>
          </w:p>
        </w:tc>
        <w:tc>
          <w:tcPr>
            <w:tcW w:w="430" w:type="dxa"/>
            <w:tcBorders>
              <w:left w:val="nil"/>
              <w:bottom w:val="single" w:sz="4" w:space="0" w:color="auto"/>
              <w:right w:val="nil"/>
            </w:tcBorders>
            <w:vAlign w:val="center"/>
          </w:tcPr>
          <w:p w14:paraId="4A88B932" w14:textId="1EFB4170" w:rsidR="00D52A4E" w:rsidRDefault="00DB1DCE" w:rsidP="00DB1DCE">
            <w:pPr>
              <w:spacing w:after="0"/>
              <w:rPr>
                <w:lang w:val="en-US"/>
              </w:rPr>
            </w:pPr>
            <w:r w:rsidRPr="00DB1DCE">
              <w:rPr>
                <w:lang w:val="en-US"/>
              </w:rPr>
              <w:sym w:font="Wingdings" w:char="F0E8"/>
            </w:r>
          </w:p>
        </w:tc>
        <w:tc>
          <w:tcPr>
            <w:tcW w:w="4670" w:type="dxa"/>
            <w:tcBorders>
              <w:left w:val="nil"/>
              <w:bottom w:val="single" w:sz="4" w:space="0" w:color="auto"/>
            </w:tcBorders>
            <w:vAlign w:val="center"/>
          </w:tcPr>
          <w:p w14:paraId="6F110237" w14:textId="77777777" w:rsidR="00D52A4E" w:rsidRDefault="00DB1DCE" w:rsidP="00DB1DCE">
            <w:pPr>
              <w:spacing w:after="0"/>
              <w:jc w:val="center"/>
              <w:rPr>
                <w:lang w:val="en-US"/>
              </w:rPr>
            </w:pPr>
            <w:r>
              <w:rPr>
                <w:noProof/>
                <w:lang w:val="en-US"/>
              </w:rPr>
              <w:drawing>
                <wp:inline distT="0" distB="0" distL="0" distR="0" wp14:anchorId="2E5E7F65" wp14:editId="32C13371">
                  <wp:extent cx="1884045" cy="185928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4045" cy="1859280"/>
                          </a:xfrm>
                          <a:prstGeom prst="rect">
                            <a:avLst/>
                          </a:prstGeom>
                          <a:noFill/>
                        </pic:spPr>
                      </pic:pic>
                    </a:graphicData>
                  </a:graphic>
                </wp:inline>
              </w:drawing>
            </w:r>
          </w:p>
          <w:p w14:paraId="7A3580B6" w14:textId="7913681D" w:rsidR="00DB1DCE" w:rsidRPr="00DB1DCE" w:rsidRDefault="00DB1DCE" w:rsidP="00DB1DCE">
            <w:pPr>
              <w:spacing w:after="0"/>
              <w:jc w:val="center"/>
              <w:rPr>
                <w:b/>
                <w:lang w:val="en-US"/>
              </w:rPr>
            </w:pPr>
            <w:r w:rsidRPr="00DB1DCE">
              <w:rPr>
                <w:b/>
                <w:lang w:val="en-US"/>
              </w:rPr>
              <w:t>Actual transmission</w:t>
            </w:r>
          </w:p>
        </w:tc>
      </w:tr>
      <w:tr w:rsidR="00D52A4E" w14:paraId="7F866891" w14:textId="77777777" w:rsidTr="002A7953">
        <w:tc>
          <w:tcPr>
            <w:tcW w:w="4529" w:type="dxa"/>
            <w:tcBorders>
              <w:right w:val="nil"/>
            </w:tcBorders>
            <w:vAlign w:val="center"/>
          </w:tcPr>
          <w:p w14:paraId="7A0C1240" w14:textId="77777777" w:rsidR="00D52A4E" w:rsidRDefault="00DB1DCE" w:rsidP="00DB1DCE">
            <w:pPr>
              <w:spacing w:after="0"/>
              <w:jc w:val="center"/>
              <w:rPr>
                <w:lang w:val="en-US"/>
              </w:rPr>
            </w:pPr>
            <w:r>
              <w:rPr>
                <w:noProof/>
                <w:lang w:val="en-US"/>
              </w:rPr>
              <w:drawing>
                <wp:inline distT="0" distB="0" distL="0" distR="0" wp14:anchorId="3C35465D" wp14:editId="700CA942">
                  <wp:extent cx="1884045" cy="185928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4045" cy="1859280"/>
                          </a:xfrm>
                          <a:prstGeom prst="rect">
                            <a:avLst/>
                          </a:prstGeom>
                          <a:noFill/>
                        </pic:spPr>
                      </pic:pic>
                    </a:graphicData>
                  </a:graphic>
                </wp:inline>
              </w:drawing>
            </w:r>
          </w:p>
          <w:p w14:paraId="669D29BD" w14:textId="3C251829" w:rsidR="00DB1DCE" w:rsidRDefault="00DB1DCE" w:rsidP="00DB1DCE">
            <w:pPr>
              <w:spacing w:after="0"/>
              <w:jc w:val="center"/>
              <w:rPr>
                <w:lang w:val="en-US"/>
              </w:rPr>
            </w:pPr>
            <w:r>
              <w:rPr>
                <w:b/>
                <w:lang w:val="en-US"/>
              </w:rPr>
              <w:t>Nominal allocation</w:t>
            </w:r>
          </w:p>
        </w:tc>
        <w:tc>
          <w:tcPr>
            <w:tcW w:w="430" w:type="dxa"/>
            <w:tcBorders>
              <w:left w:val="nil"/>
              <w:right w:val="nil"/>
            </w:tcBorders>
            <w:vAlign w:val="center"/>
          </w:tcPr>
          <w:p w14:paraId="3657232F" w14:textId="44FCAB88" w:rsidR="00D52A4E" w:rsidRDefault="00DB1DCE" w:rsidP="00DB1DCE">
            <w:pPr>
              <w:spacing w:after="0"/>
              <w:rPr>
                <w:lang w:val="en-US"/>
              </w:rPr>
            </w:pPr>
            <w:r w:rsidRPr="00DB1DCE">
              <w:rPr>
                <w:lang w:val="en-US"/>
              </w:rPr>
              <w:sym w:font="Wingdings" w:char="F0E8"/>
            </w:r>
          </w:p>
        </w:tc>
        <w:tc>
          <w:tcPr>
            <w:tcW w:w="4670" w:type="dxa"/>
            <w:tcBorders>
              <w:left w:val="nil"/>
            </w:tcBorders>
            <w:vAlign w:val="center"/>
          </w:tcPr>
          <w:p w14:paraId="41040897" w14:textId="77777777" w:rsidR="00D52A4E" w:rsidRDefault="00DB1DCE" w:rsidP="00DB1DCE">
            <w:pPr>
              <w:spacing w:after="0"/>
              <w:jc w:val="center"/>
              <w:rPr>
                <w:lang w:val="en-US"/>
              </w:rPr>
            </w:pPr>
            <w:r>
              <w:rPr>
                <w:noProof/>
                <w:lang w:val="en-US"/>
              </w:rPr>
              <w:drawing>
                <wp:inline distT="0" distB="0" distL="0" distR="0" wp14:anchorId="3D9E02FE" wp14:editId="31D707C3">
                  <wp:extent cx="1884045" cy="185928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4045" cy="1859280"/>
                          </a:xfrm>
                          <a:prstGeom prst="rect">
                            <a:avLst/>
                          </a:prstGeom>
                          <a:noFill/>
                        </pic:spPr>
                      </pic:pic>
                    </a:graphicData>
                  </a:graphic>
                </wp:inline>
              </w:drawing>
            </w:r>
          </w:p>
          <w:p w14:paraId="71EC63F7" w14:textId="52CA6025" w:rsidR="00DB1DCE" w:rsidRPr="00DB1DCE" w:rsidRDefault="00DB1DCE" w:rsidP="00DB1DCE">
            <w:pPr>
              <w:spacing w:after="0"/>
              <w:jc w:val="center"/>
              <w:rPr>
                <w:lang w:val="en-US"/>
              </w:rPr>
            </w:pPr>
            <w:r w:rsidRPr="00DB1DCE">
              <w:rPr>
                <w:b/>
                <w:lang w:val="en-US"/>
              </w:rPr>
              <w:t>Actual transmission</w:t>
            </w:r>
          </w:p>
        </w:tc>
      </w:tr>
    </w:tbl>
    <w:p w14:paraId="42A3F452" w14:textId="77777777" w:rsidR="00836049" w:rsidRPr="008F6B7D" w:rsidRDefault="00836049" w:rsidP="008F6B7D">
      <w:pPr>
        <w:rPr>
          <w:lang w:val="en-US"/>
        </w:rPr>
      </w:pPr>
    </w:p>
    <w:p w14:paraId="240EDD57" w14:textId="77777777" w:rsidR="00F726D9" w:rsidRPr="00C457B8" w:rsidRDefault="00F726D9" w:rsidP="00F726D9">
      <w:pPr>
        <w:rPr>
          <w:b/>
          <w:lang w:val="en-US" w:eastAsia="zh-CN"/>
        </w:rPr>
      </w:pPr>
    </w:p>
    <w:p w14:paraId="74AD2352" w14:textId="1B86ABDC" w:rsidR="001E36F4" w:rsidRDefault="00C01E1B" w:rsidP="001E36F4">
      <w:pPr>
        <w:pStyle w:val="Heading1"/>
      </w:pPr>
      <w:r>
        <w:t>3</w:t>
      </w:r>
      <w:r w:rsidR="001E36F4" w:rsidRPr="0016316A">
        <w:tab/>
      </w:r>
      <w:r w:rsidR="001E36F4">
        <w:t>Conclusions</w:t>
      </w:r>
    </w:p>
    <w:p w14:paraId="187BC78E" w14:textId="5422656C" w:rsidR="00C457B8" w:rsidRPr="00C457B8" w:rsidRDefault="002A7953" w:rsidP="00C457B8">
      <w:r>
        <w:t xml:space="preserve">In our view best approach to handle a situation when NR power would change during LTE sub-frame in intraband EN-DC configuration is that NR power is kept constant so that NR power change do not to affect LTE reception on BS. In case NR would transmit only on one of the two sub-frames it obviously cannot keep same power for both sub-frams or NR cannot keep constant power as it would violate emission requirements then in these cases NR sub-frame is dropped. </w:t>
      </w:r>
    </w:p>
    <w:p w14:paraId="3130E438" w14:textId="77777777" w:rsidR="001E36F4" w:rsidRPr="00ED1327" w:rsidRDefault="001E36F4" w:rsidP="001E36F4">
      <w:pPr>
        <w:pStyle w:val="Heading1"/>
      </w:pPr>
      <w:r>
        <w:t>References</w:t>
      </w:r>
    </w:p>
    <w:p w14:paraId="4A10CC97" w14:textId="48DADC6E" w:rsidR="001E36F4" w:rsidRDefault="003475F1" w:rsidP="003A49BF">
      <w:pPr>
        <w:pStyle w:val="ListParagraph"/>
        <w:numPr>
          <w:ilvl w:val="0"/>
          <w:numId w:val="12"/>
        </w:numPr>
        <w:rPr>
          <w:sz w:val="20"/>
          <w:szCs w:val="20"/>
          <w:lang w:val="en-US"/>
        </w:rPr>
      </w:pPr>
      <w:hyperlink r:id="rId16" w:history="1">
        <w:r w:rsidR="003A49BF" w:rsidRPr="003A49BF">
          <w:rPr>
            <w:rStyle w:val="Hyperlink"/>
            <w:sz w:val="20"/>
            <w:szCs w:val="20"/>
            <w:lang w:val="en-US"/>
          </w:rPr>
          <w:t>R1-1809992</w:t>
        </w:r>
      </w:hyperlink>
      <w:r w:rsidR="003A49BF">
        <w:rPr>
          <w:sz w:val="20"/>
          <w:szCs w:val="20"/>
          <w:lang w:val="en-US"/>
        </w:rPr>
        <w:tab/>
      </w:r>
      <w:r w:rsidR="003A49BF" w:rsidRPr="003A49BF">
        <w:rPr>
          <w:rFonts w:cs="Arial"/>
          <w:bCs/>
          <w:sz w:val="20"/>
          <w:szCs w:val="20"/>
          <w:lang w:val="en-US"/>
        </w:rPr>
        <w:t>LS on NR-LTE co-existence</w:t>
      </w:r>
      <w:r w:rsidR="001E36F4" w:rsidRPr="003A49BF">
        <w:rPr>
          <w:sz w:val="20"/>
          <w:szCs w:val="20"/>
          <w:lang w:val="en-US"/>
        </w:rPr>
        <w:t xml:space="preserve">, </w:t>
      </w:r>
      <w:r w:rsidR="003A49BF" w:rsidRPr="003A49BF">
        <w:rPr>
          <w:sz w:val="20"/>
          <w:szCs w:val="20"/>
          <w:lang w:val="en-US"/>
        </w:rPr>
        <w:t>RAN1</w:t>
      </w:r>
    </w:p>
    <w:p w14:paraId="0F473D62" w14:textId="5FFE80A5" w:rsidR="003A49BF" w:rsidRPr="003A49BF" w:rsidRDefault="003475F1" w:rsidP="003A49BF">
      <w:pPr>
        <w:pStyle w:val="ListParagraph"/>
        <w:numPr>
          <w:ilvl w:val="0"/>
          <w:numId w:val="12"/>
        </w:numPr>
        <w:rPr>
          <w:sz w:val="20"/>
          <w:szCs w:val="20"/>
          <w:lang w:val="en-US"/>
        </w:rPr>
      </w:pPr>
      <w:hyperlink r:id="rId17" w:history="1">
        <w:r w:rsidR="003A49BF" w:rsidRPr="003A49BF">
          <w:rPr>
            <w:rStyle w:val="Hyperlink"/>
            <w:sz w:val="20"/>
            <w:szCs w:val="20"/>
            <w:lang w:val="en-US"/>
          </w:rPr>
          <w:t>R1-1808675</w:t>
        </w:r>
      </w:hyperlink>
      <w:r w:rsidR="003A49BF">
        <w:rPr>
          <w:sz w:val="20"/>
          <w:szCs w:val="20"/>
          <w:lang w:val="en-US"/>
        </w:rPr>
        <w:tab/>
        <w:t>Remaining issues of NR-LTE co-existence, Intel Corporation</w:t>
      </w:r>
      <w:bookmarkEnd w:id="2"/>
    </w:p>
    <w:sectPr w:rsidR="003A49BF" w:rsidRPr="003A49B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F0F9C" w14:textId="77777777" w:rsidR="0069570F" w:rsidRDefault="0069570F">
      <w:r>
        <w:separator/>
      </w:r>
    </w:p>
  </w:endnote>
  <w:endnote w:type="continuationSeparator" w:id="0">
    <w:p w14:paraId="7257DF75" w14:textId="77777777" w:rsidR="0069570F" w:rsidRDefault="0069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37CA2" w14:textId="77777777" w:rsidR="0069570F" w:rsidRDefault="0069570F">
      <w:r>
        <w:separator/>
      </w:r>
    </w:p>
  </w:footnote>
  <w:footnote w:type="continuationSeparator" w:id="0">
    <w:p w14:paraId="677B762B" w14:textId="77777777" w:rsidR="0069570F" w:rsidRDefault="0069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8A5FFA"/>
    <w:multiLevelType w:val="hybridMultilevel"/>
    <w:tmpl w:val="A9908814"/>
    <w:lvl w:ilvl="0" w:tplc="040B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77C0C"/>
    <w:multiLevelType w:val="hybridMultilevel"/>
    <w:tmpl w:val="7A0A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242EF"/>
    <w:multiLevelType w:val="hybridMultilevel"/>
    <w:tmpl w:val="0212E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63F445E0"/>
    <w:multiLevelType w:val="hybridMultilevel"/>
    <w:tmpl w:val="D1207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33D8D"/>
    <w:multiLevelType w:val="hybridMultilevel"/>
    <w:tmpl w:val="294EFF78"/>
    <w:lvl w:ilvl="0" w:tplc="6E6CA6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num>
  <w:num w:numId="4">
    <w:abstractNumId w:val="1"/>
  </w:num>
  <w:num w:numId="5">
    <w:abstractNumId w:val="7"/>
  </w:num>
  <w:num w:numId="6">
    <w:abstractNumId w:val="15"/>
  </w:num>
  <w:num w:numId="7">
    <w:abstractNumId w:val="10"/>
  </w:num>
  <w:num w:numId="8">
    <w:abstractNumId w:val="6"/>
  </w:num>
  <w:num w:numId="9">
    <w:abstractNumId w:val="17"/>
  </w:num>
  <w:num w:numId="10">
    <w:abstractNumId w:val="4"/>
  </w:num>
  <w:num w:numId="11">
    <w:abstractNumId w:val="12"/>
  </w:num>
  <w:num w:numId="12">
    <w:abstractNumId w:val="3"/>
  </w:num>
  <w:num w:numId="13">
    <w:abstractNumId w:val="18"/>
  </w:num>
  <w:num w:numId="14">
    <w:abstractNumId w:val="9"/>
  </w:num>
  <w:num w:numId="15">
    <w:abstractNumId w:val="11"/>
  </w:num>
  <w:num w:numId="16">
    <w:abstractNumId w:val="2"/>
  </w:num>
  <w:num w:numId="17">
    <w:abstractNumId w:val="13"/>
  </w:num>
  <w:num w:numId="18">
    <w:abstractNumId w:val="16"/>
  </w:num>
  <w:num w:numId="1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4D5"/>
    <w:rsid w:val="00027755"/>
    <w:rsid w:val="00027864"/>
    <w:rsid w:val="0002789E"/>
    <w:rsid w:val="00030048"/>
    <w:rsid w:val="0003072D"/>
    <w:rsid w:val="000314CD"/>
    <w:rsid w:val="0003235F"/>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8EE"/>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1F7"/>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0A2"/>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2C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F5C"/>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10"/>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6F4"/>
    <w:rsid w:val="001E3DE1"/>
    <w:rsid w:val="001E4D4F"/>
    <w:rsid w:val="001E54F9"/>
    <w:rsid w:val="001E57CF"/>
    <w:rsid w:val="001E5981"/>
    <w:rsid w:val="001E61B9"/>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2FAE"/>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740"/>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26D"/>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7953"/>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0A05"/>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CA2"/>
    <w:rsid w:val="00345405"/>
    <w:rsid w:val="00345DDD"/>
    <w:rsid w:val="00346D7A"/>
    <w:rsid w:val="00346FED"/>
    <w:rsid w:val="003475F1"/>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A21"/>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9BF"/>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978"/>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D4E"/>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17EDA"/>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928"/>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83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FAF"/>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AC"/>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0CC"/>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5625"/>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5E75"/>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4DB"/>
    <w:rsid w:val="00602A78"/>
    <w:rsid w:val="00602A84"/>
    <w:rsid w:val="00602AA1"/>
    <w:rsid w:val="00603123"/>
    <w:rsid w:val="006036F4"/>
    <w:rsid w:val="00604367"/>
    <w:rsid w:val="006044BE"/>
    <w:rsid w:val="0060475F"/>
    <w:rsid w:val="006047DF"/>
    <w:rsid w:val="00604804"/>
    <w:rsid w:val="00604DE1"/>
    <w:rsid w:val="00605F6E"/>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8B1"/>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12"/>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570F"/>
    <w:rsid w:val="00696D63"/>
    <w:rsid w:val="006A032F"/>
    <w:rsid w:val="006A146E"/>
    <w:rsid w:val="006A1BEB"/>
    <w:rsid w:val="006A3022"/>
    <w:rsid w:val="006A41AE"/>
    <w:rsid w:val="006A4856"/>
    <w:rsid w:val="006A4A7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2DB"/>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57"/>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81B"/>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597"/>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01CF"/>
    <w:rsid w:val="007E1782"/>
    <w:rsid w:val="007E25AB"/>
    <w:rsid w:val="007E2F41"/>
    <w:rsid w:val="007E44FC"/>
    <w:rsid w:val="007E5AC2"/>
    <w:rsid w:val="007E79C5"/>
    <w:rsid w:val="007F2845"/>
    <w:rsid w:val="007F2A69"/>
    <w:rsid w:val="007F38A2"/>
    <w:rsid w:val="007F43BC"/>
    <w:rsid w:val="007F4740"/>
    <w:rsid w:val="007F5F98"/>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37B"/>
    <w:rsid w:val="008154EC"/>
    <w:rsid w:val="00820DC7"/>
    <w:rsid w:val="00820FFB"/>
    <w:rsid w:val="00821698"/>
    <w:rsid w:val="008221FE"/>
    <w:rsid w:val="00822BF5"/>
    <w:rsid w:val="00824894"/>
    <w:rsid w:val="00825366"/>
    <w:rsid w:val="00825E84"/>
    <w:rsid w:val="0082656F"/>
    <w:rsid w:val="00826C7B"/>
    <w:rsid w:val="00826DD9"/>
    <w:rsid w:val="00826E01"/>
    <w:rsid w:val="008277A8"/>
    <w:rsid w:val="008278B6"/>
    <w:rsid w:val="00827E9A"/>
    <w:rsid w:val="008307ED"/>
    <w:rsid w:val="00830B3B"/>
    <w:rsid w:val="0083350F"/>
    <w:rsid w:val="00834358"/>
    <w:rsid w:val="008346BD"/>
    <w:rsid w:val="00834923"/>
    <w:rsid w:val="008359EB"/>
    <w:rsid w:val="00836049"/>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B2B"/>
    <w:rsid w:val="00862008"/>
    <w:rsid w:val="00862720"/>
    <w:rsid w:val="008628C8"/>
    <w:rsid w:val="00862B2A"/>
    <w:rsid w:val="008630B9"/>
    <w:rsid w:val="00863F37"/>
    <w:rsid w:val="0086406B"/>
    <w:rsid w:val="00864C8C"/>
    <w:rsid w:val="008651C0"/>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87D87"/>
    <w:rsid w:val="008908E5"/>
    <w:rsid w:val="00891216"/>
    <w:rsid w:val="00894B58"/>
    <w:rsid w:val="00894FDC"/>
    <w:rsid w:val="00895714"/>
    <w:rsid w:val="008957D3"/>
    <w:rsid w:val="00896414"/>
    <w:rsid w:val="0089716F"/>
    <w:rsid w:val="00897C71"/>
    <w:rsid w:val="008A0F54"/>
    <w:rsid w:val="008A16F9"/>
    <w:rsid w:val="008A1D3E"/>
    <w:rsid w:val="008A3038"/>
    <w:rsid w:val="008A38B4"/>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FF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6B7D"/>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5F8F"/>
    <w:rsid w:val="009411FB"/>
    <w:rsid w:val="009414A9"/>
    <w:rsid w:val="00941B71"/>
    <w:rsid w:val="00941DF9"/>
    <w:rsid w:val="009421AD"/>
    <w:rsid w:val="0094221C"/>
    <w:rsid w:val="00942756"/>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588"/>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C9"/>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17C5F"/>
    <w:rsid w:val="00A20653"/>
    <w:rsid w:val="00A20A39"/>
    <w:rsid w:val="00A22A43"/>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1A2"/>
    <w:rsid w:val="00A3629E"/>
    <w:rsid w:val="00A365AD"/>
    <w:rsid w:val="00A42A85"/>
    <w:rsid w:val="00A42D07"/>
    <w:rsid w:val="00A44B43"/>
    <w:rsid w:val="00A4503E"/>
    <w:rsid w:val="00A450C0"/>
    <w:rsid w:val="00A45183"/>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1F4"/>
    <w:rsid w:val="00A85798"/>
    <w:rsid w:val="00A8609D"/>
    <w:rsid w:val="00A86EA7"/>
    <w:rsid w:val="00A91244"/>
    <w:rsid w:val="00A91774"/>
    <w:rsid w:val="00A91C7F"/>
    <w:rsid w:val="00A92066"/>
    <w:rsid w:val="00A92776"/>
    <w:rsid w:val="00A930C3"/>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5BB"/>
    <w:rsid w:val="00AB0A32"/>
    <w:rsid w:val="00AB0B8C"/>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8B8"/>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1B6"/>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229"/>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0AF"/>
    <w:rsid w:val="00B92D25"/>
    <w:rsid w:val="00B93008"/>
    <w:rsid w:val="00B9406D"/>
    <w:rsid w:val="00B94BA7"/>
    <w:rsid w:val="00B94E0E"/>
    <w:rsid w:val="00B96413"/>
    <w:rsid w:val="00B97CA3"/>
    <w:rsid w:val="00BA1913"/>
    <w:rsid w:val="00BA25C4"/>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1E1B"/>
    <w:rsid w:val="00C03309"/>
    <w:rsid w:val="00C037E0"/>
    <w:rsid w:val="00C06557"/>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197D"/>
    <w:rsid w:val="00C42689"/>
    <w:rsid w:val="00C42988"/>
    <w:rsid w:val="00C42BD4"/>
    <w:rsid w:val="00C43FF0"/>
    <w:rsid w:val="00C44641"/>
    <w:rsid w:val="00C457B8"/>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89"/>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2E9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468"/>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2A4E"/>
    <w:rsid w:val="00D53649"/>
    <w:rsid w:val="00D53830"/>
    <w:rsid w:val="00D54FB3"/>
    <w:rsid w:val="00D55889"/>
    <w:rsid w:val="00D56B5F"/>
    <w:rsid w:val="00D57A3F"/>
    <w:rsid w:val="00D57AF0"/>
    <w:rsid w:val="00D61815"/>
    <w:rsid w:val="00D627E3"/>
    <w:rsid w:val="00D62ECD"/>
    <w:rsid w:val="00D63D02"/>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7B8"/>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1DCE"/>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CE6"/>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EF1"/>
    <w:rsid w:val="00EE7FA7"/>
    <w:rsid w:val="00EF0322"/>
    <w:rsid w:val="00EF1093"/>
    <w:rsid w:val="00EF1FCB"/>
    <w:rsid w:val="00EF21C3"/>
    <w:rsid w:val="00EF2E6B"/>
    <w:rsid w:val="00EF493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E3A"/>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26D9"/>
    <w:rsid w:val="00F75330"/>
    <w:rsid w:val="00F75B66"/>
    <w:rsid w:val="00F76BD9"/>
    <w:rsid w:val="00F80318"/>
    <w:rsid w:val="00F80703"/>
    <w:rsid w:val="00F80948"/>
    <w:rsid w:val="00F81387"/>
    <w:rsid w:val="00F82134"/>
    <w:rsid w:val="00F822E3"/>
    <w:rsid w:val="00F82866"/>
    <w:rsid w:val="00F8325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B1"/>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DC8"/>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rsid w:val="00895714"/>
    <w:rPr>
      <w:rFonts w:ascii="Times New Roman" w:hAnsi="Times New Roman"/>
      <w:lang w:val="en-GB"/>
    </w:rPr>
  </w:style>
  <w:style w:type="character" w:customStyle="1" w:styleId="B3Char">
    <w:name w:val="B3 Char"/>
    <w:link w:val="B3"/>
    <w:rsid w:val="00895714"/>
    <w:rPr>
      <w:rFonts w:ascii="Times New Roman" w:hAnsi="Times New Roman"/>
      <w:lang w:val="en-GB"/>
    </w:rPr>
  </w:style>
  <w:style w:type="character" w:styleId="UnresolvedMention">
    <w:name w:val="Unresolved Mention"/>
    <w:basedOn w:val="DefaultParagraphFont"/>
    <w:uiPriority w:val="99"/>
    <w:semiHidden/>
    <w:unhideWhenUsed/>
    <w:rsid w:val="003A49B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58603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429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594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2734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54194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WG1_RL1/TSGR1_94/Docs/R1-1808675.zip" TargetMode="External"/><Relationship Id="rId2" Type="http://schemas.openxmlformats.org/officeDocument/2006/relationships/customXml" Target="../customXml/item2.xml"/><Relationship Id="rId16" Type="http://schemas.openxmlformats.org/officeDocument/2006/relationships/hyperlink" Target="ftp://ftp.3gpp.org/TSG_RAN/WG1_RL1/TSGR1_94/Docs/R1-18099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5AIRPNAIUNRU-1830940522-2757</_dlc_DocId>
    <_dlc_DocIdUrl xmlns="71c5aaf6-e6ce-465b-b873-5148d2a4c105">
      <Url>https://nokia.sharepoint.com/sites/c5g/5gradio/_layouts/15/DocIdRedir.aspx?ID=5AIRPNAIUNRU-1830940522-2757</Url>
      <Description>5AIRPNAIUNRU-1830940522-2757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http://purl.org/dc/terms/"/>
    <ds:schemaRef ds:uri="http://schemas.microsoft.com/office/2006/documentManagement/types"/>
    <ds:schemaRef ds:uri="ebabf6ce-2443-438c-9946-ecc878e7654a"/>
    <ds:schemaRef ds:uri="http://purl.org/dc/elements/1.1/"/>
    <ds:schemaRef ds:uri="http://schemas.microsoft.com/office/2006/metadata/properties"/>
    <ds:schemaRef ds:uri="http://www.w3.org/XML/1998/namespace"/>
    <ds:schemaRef ds:uri="http://schemas.openxmlformats.org/package/2006/metadata/core-properties"/>
    <ds:schemaRef ds:uri="71c5aaf6-e6ce-465b-b873-5148d2a4c105"/>
    <ds:schemaRef ds:uri="95d2e41d-1f11-4347-bb1c-11d6a32975dd"/>
    <ds:schemaRef ds:uri="3b34c8f0-1ef5-4d1e-bb66-517ce7fe7356"/>
    <ds:schemaRef ds:uri="http://purl.org/dc/dcmitype/"/>
  </ds:schemaRefs>
</ds:datastoreItem>
</file>

<file path=customXml/itemProps5.xml><?xml version="1.0" encoding="utf-8"?>
<ds:datastoreItem xmlns:ds="http://schemas.openxmlformats.org/officeDocument/2006/customXml" ds:itemID="{1FA10013-BD45-4DEA-A40C-238C6ABF0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763</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2018-09-26T07:05:00Z</dcterms:created>
  <dcterms:modified xsi:type="dcterms:W3CDTF">2018-09-26T07:05:00Z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d1d88792-8b03-4a73-87cc-b28c5123fc69</vt:lpwstr>
  </property>
</Properties>
</file>